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545"/>
          <w:tab w:val="center" w:pos="5233"/>
        </w:tabs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545"/>
          <w:tab w:val="center" w:pos="5233"/>
        </w:tabs>
        <w:spacing w:after="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545"/>
          <w:tab w:val="center" w:pos="5233"/>
        </w:tabs>
        <w:spacing w:after="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545"/>
          <w:tab w:val="center" w:pos="5233"/>
        </w:tabs>
        <w:spacing w:after="0" w:lineRule="auto"/>
        <w:rPr>
          <w:rFonts w:ascii="Arial" w:cs="Arial" w:eastAsia="Arial" w:hAnsi="Arial"/>
          <w:b w:val="1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</w:rPr>
        <w:drawing>
          <wp:inline distB="0" distT="0" distL="0" distR="0">
            <wp:extent cx="4259082" cy="4020475"/>
            <wp:effectExtent b="0" l="0" r="0" t="0"/>
            <wp:docPr descr="C:\Users\user\Downloads\descarga (2).jpg" id="1" name="image1.png"/>
            <a:graphic>
              <a:graphicData uri="http://schemas.openxmlformats.org/drawingml/2006/picture">
                <pic:pic>
                  <pic:nvPicPr>
                    <pic:cNvPr descr="C:\Users\user\Downloads\descarga (2)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59082" cy="4020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545"/>
          <w:tab w:val="center" w:pos="5233"/>
        </w:tabs>
        <w:spacing w:after="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545"/>
          <w:tab w:val="center" w:pos="5233"/>
        </w:tabs>
        <w:spacing w:after="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545"/>
          <w:tab w:val="center" w:pos="5233"/>
        </w:tabs>
        <w:spacing w:after="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545"/>
          <w:tab w:val="center" w:pos="5233"/>
        </w:tabs>
        <w:spacing w:after="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545"/>
          <w:tab w:val="center" w:pos="5233"/>
        </w:tabs>
        <w:spacing w:after="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545"/>
          <w:tab w:val="center" w:pos="5233"/>
        </w:tabs>
        <w:spacing w:after="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545"/>
          <w:tab w:val="center" w:pos="5233"/>
        </w:tabs>
        <w:spacing w:after="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</w:rPr>
        <w:drawing>
          <wp:inline distB="0" distT="0" distL="0" distR="0">
            <wp:extent cx="2981325" cy="3076575"/>
            <wp:effectExtent b="0" l="0" r="0" t="0"/>
            <wp:docPr descr="C:\Users\user\Downloads\images.png" id="3" name="image3.png"/>
            <a:graphic>
              <a:graphicData uri="http://schemas.openxmlformats.org/drawingml/2006/picture">
                <pic:pic>
                  <pic:nvPicPr>
                    <pic:cNvPr descr="C:\Users\user\Downloads\images.png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076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545"/>
          <w:tab w:val="center" w:pos="5233"/>
        </w:tabs>
        <w:spacing w:after="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  <w:color w:val="c00000"/>
          <w:sz w:val="72"/>
          <w:szCs w:val="72"/>
        </w:rPr>
      </w:pPr>
      <w:r w:rsidDel="00000000" w:rsidR="00000000" w:rsidRPr="00000000">
        <w:rPr>
          <w:b w:val="1"/>
          <w:color w:val="c00000"/>
          <w:sz w:val="72"/>
          <w:szCs w:val="72"/>
          <w:rtl w:val="0"/>
        </w:rPr>
        <w:t xml:space="preserve">5 DE MAYO</w:t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b w:val="1"/>
          <w:color w:val="c00000"/>
          <w:sz w:val="72"/>
          <w:szCs w:val="72"/>
        </w:rPr>
      </w:pPr>
      <w:r w:rsidDel="00000000" w:rsidR="00000000" w:rsidRPr="00000000">
        <w:rPr>
          <w:b w:val="1"/>
          <w:color w:val="c00000"/>
          <w:sz w:val="72"/>
          <w:szCs w:val="72"/>
          <w:rtl w:val="0"/>
        </w:rPr>
        <w:t xml:space="preserve">DIA MUNDIAL DE LA CELIAQUÍA</w:t>
      </w:r>
    </w:p>
    <w:p w:rsidR="00000000" w:rsidDel="00000000" w:rsidP="00000000" w:rsidRDefault="00000000" w:rsidRPr="00000000" w14:paraId="0000000F">
      <w:pPr>
        <w:tabs>
          <w:tab w:val="left" w:pos="1545"/>
          <w:tab w:val="center" w:pos="5233"/>
        </w:tabs>
        <w:spacing w:after="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545"/>
          <w:tab w:val="center" w:pos="5233"/>
        </w:tabs>
        <w:spacing w:after="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                                 </w:t>
      </w:r>
    </w:p>
    <w:p w:rsidR="00000000" w:rsidDel="00000000" w:rsidP="00000000" w:rsidRDefault="00000000" w:rsidRPr="00000000" w14:paraId="00000011">
      <w:pPr>
        <w:tabs>
          <w:tab w:val="left" w:pos="1545"/>
          <w:tab w:val="center" w:pos="5233"/>
        </w:tabs>
        <w:spacing w:after="0" w:line="360" w:lineRule="auto"/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BOLETÍN INFORMATIVO</w:t>
      </w:r>
    </w:p>
    <w:p w:rsidR="00000000" w:rsidDel="00000000" w:rsidP="00000000" w:rsidRDefault="00000000" w:rsidRPr="00000000" w14:paraId="00000012">
      <w:pPr>
        <w:spacing w:after="0" w:line="360" w:lineRule="auto"/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5 DE MAYO DIA MUNDIAL DE LA CELIAQUÍA</w:t>
      </w:r>
    </w:p>
    <w:p w:rsidR="00000000" w:rsidDel="00000000" w:rsidP="00000000" w:rsidRDefault="00000000" w:rsidRPr="00000000" w14:paraId="00000013">
      <w:pPr>
        <w:spacing w:after="0" w:line="360" w:lineRule="auto"/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  <w:i w:val="1"/>
          <w:color w:val="202124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    El día 5 de mayo se conmemora el </w:t>
      </w:r>
      <w:r w:rsidDel="00000000" w:rsidR="00000000" w:rsidRPr="00000000">
        <w:rPr>
          <w:rFonts w:ascii="Arial" w:cs="Arial" w:eastAsia="Arial" w:hAnsi="Arial"/>
          <w:b w:val="1"/>
          <w:i w:val="1"/>
          <w:color w:val="202124"/>
          <w:highlight w:val="white"/>
          <w:rtl w:val="0"/>
        </w:rPr>
        <w:t xml:space="preserve">Día Internacional</w:t>
      </w: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1"/>
          <w:color w:val="202124"/>
          <w:highlight w:val="white"/>
          <w:rtl w:val="0"/>
        </w:rPr>
        <w:t xml:space="preserve">de la Enfermedad Celíaca,</w:t>
      </w:r>
      <w:r w:rsidDel="00000000" w:rsidR="00000000" w:rsidRPr="00000000">
        <w:rPr>
          <w:rFonts w:ascii="Arial" w:cs="Arial" w:eastAsia="Arial" w:hAnsi="Arial"/>
          <w:i w:val="1"/>
          <w:color w:val="202124"/>
          <w:highlight w:val="white"/>
          <w:rtl w:val="0"/>
        </w:rPr>
        <w:t xml:space="preserve"> instituido con el fin de concientizar a la comunidad sobre esta patología y promover la búsqueda de soluciones para las personas afectadas.</w:t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Arial" w:cs="Arial" w:eastAsia="Arial" w:hAnsi="Arial"/>
          <w:i w:val="1"/>
          <w:color w:val="424242"/>
          <w:shd w:fill="fafafa" w:val="clear"/>
        </w:rPr>
      </w:pPr>
      <w:r w:rsidDel="00000000" w:rsidR="00000000" w:rsidRPr="00000000">
        <w:rPr>
          <w:rFonts w:ascii="Arial" w:cs="Arial" w:eastAsia="Arial" w:hAnsi="Arial"/>
          <w:i w:val="1"/>
          <w:color w:val="424242"/>
          <w:shd w:fill="fafafa" w:val="clear"/>
          <w:rtl w:val="0"/>
        </w:rPr>
        <w:t xml:space="preserve">    La celiaquía o enfermedad celíaca es una intolerancia de </w:t>
      </w:r>
      <w:r w:rsidDel="00000000" w:rsidR="00000000" w:rsidRPr="00000000">
        <w:rPr>
          <w:rFonts w:ascii="Arial" w:cs="Arial" w:eastAsia="Arial" w:hAnsi="Arial"/>
          <w:b w:val="1"/>
          <w:i w:val="1"/>
          <w:color w:val="424242"/>
          <w:shd w:fill="fafafa" w:val="clear"/>
          <w:rtl w:val="0"/>
        </w:rPr>
        <w:t xml:space="preserve">origen inmunológico al gluten </w:t>
      </w:r>
      <w:r w:rsidDel="00000000" w:rsidR="00000000" w:rsidRPr="00000000">
        <w:rPr>
          <w:rFonts w:ascii="Arial" w:cs="Arial" w:eastAsia="Arial" w:hAnsi="Arial"/>
          <w:i w:val="1"/>
          <w:color w:val="424242"/>
          <w:shd w:fill="fafafa" w:val="clear"/>
          <w:rtl w:val="0"/>
        </w:rPr>
        <w:t xml:space="preserve">existente en alimentos farináceos como el trigo, la avena, la cebada y el centeno, provoca lesiones a nivel del</w:t>
      </w:r>
      <w:r w:rsidDel="00000000" w:rsidR="00000000" w:rsidRPr="00000000">
        <w:rPr>
          <w:rFonts w:ascii="Arial" w:cs="Arial" w:eastAsia="Arial" w:hAnsi="Arial"/>
          <w:b w:val="1"/>
          <w:i w:val="1"/>
          <w:color w:val="424242"/>
          <w:shd w:fill="fafafa" w:val="clear"/>
          <w:rtl w:val="0"/>
        </w:rPr>
        <w:t xml:space="preserve"> intestino delgado </w:t>
      </w:r>
      <w:r w:rsidDel="00000000" w:rsidR="00000000" w:rsidRPr="00000000">
        <w:rPr>
          <w:rFonts w:ascii="Arial" w:cs="Arial" w:eastAsia="Arial" w:hAnsi="Arial"/>
          <w:i w:val="1"/>
          <w:color w:val="424242"/>
          <w:shd w:fill="fafafa" w:val="clear"/>
          <w:rtl w:val="0"/>
        </w:rPr>
        <w:t xml:space="preserve">(vellosidades) y como resultante, generan alteración en la absorción de nutrientes básicos, como vitaminas y minerales, entre otros.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Arial" w:cs="Arial" w:eastAsia="Arial" w:hAnsi="Arial"/>
          <w:i w:val="1"/>
          <w:color w:val="424242"/>
          <w:shd w:fill="fafafa" w:val="clear"/>
        </w:rPr>
      </w:pPr>
      <w:r w:rsidDel="00000000" w:rsidR="00000000" w:rsidRPr="00000000">
        <w:rPr>
          <w:rFonts w:ascii="Arial" w:cs="Arial" w:eastAsia="Arial" w:hAnsi="Arial"/>
          <w:i w:val="1"/>
          <w:color w:val="424242"/>
          <w:shd w:fill="fafafa" w:val="clear"/>
          <w:rtl w:val="0"/>
        </w:rPr>
        <w:t xml:space="preserve">    El diagnóstico de certeza se basa en la</w:t>
      </w:r>
      <w:r w:rsidDel="00000000" w:rsidR="00000000" w:rsidRPr="00000000">
        <w:rPr>
          <w:rFonts w:ascii="Arial" w:cs="Arial" w:eastAsia="Arial" w:hAnsi="Arial"/>
          <w:b w:val="1"/>
          <w:i w:val="1"/>
          <w:color w:val="424242"/>
          <w:shd w:fill="fafafa" w:val="clear"/>
          <w:rtl w:val="0"/>
        </w:rPr>
        <w:t xml:space="preserve"> biopsia intestinal</w:t>
      </w:r>
      <w:r w:rsidDel="00000000" w:rsidR="00000000" w:rsidRPr="00000000">
        <w:rPr>
          <w:rFonts w:ascii="Arial" w:cs="Arial" w:eastAsia="Arial" w:hAnsi="Arial"/>
          <w:i w:val="1"/>
          <w:color w:val="424242"/>
          <w:shd w:fill="fafafa" w:val="clear"/>
          <w:rtl w:val="0"/>
        </w:rPr>
        <w:t xml:space="preserve"> o por alta titulación de anticuerpos, antitransglutaminasa y antiendomisio.</w:t>
      </w:r>
    </w:p>
    <w:p w:rsidR="00000000" w:rsidDel="00000000" w:rsidP="00000000" w:rsidRDefault="00000000" w:rsidRPr="00000000" w14:paraId="00000017">
      <w:pPr>
        <w:shd w:fill="fafafa" w:val="clear"/>
        <w:spacing w:after="0" w:line="240" w:lineRule="auto"/>
        <w:jc w:val="both"/>
        <w:rPr>
          <w:rFonts w:ascii="Arial" w:cs="Arial" w:eastAsia="Arial" w:hAnsi="Arial"/>
          <w:b w:val="1"/>
          <w:i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afafa" w:val="clear"/>
        <w:spacing w:after="0" w:line="360" w:lineRule="auto"/>
        <w:jc w:val="both"/>
        <w:rPr>
          <w:rFonts w:ascii="Arial" w:cs="Arial" w:eastAsia="Arial" w:hAnsi="Arial"/>
          <w:b w:val="1"/>
          <w:i w:val="1"/>
          <w:color w:val="212121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12121"/>
          <w:rtl w:val="0"/>
        </w:rPr>
        <w:t xml:space="preserve">Tratamiento y calidad de vida</w:t>
      </w:r>
    </w:p>
    <w:p w:rsidR="00000000" w:rsidDel="00000000" w:rsidP="00000000" w:rsidRDefault="00000000" w:rsidRPr="00000000" w14:paraId="00000019">
      <w:pPr>
        <w:shd w:fill="fafafa" w:val="clear"/>
        <w:spacing w:after="0" w:line="360" w:lineRule="auto"/>
        <w:jc w:val="both"/>
        <w:rPr>
          <w:rFonts w:ascii="Arial" w:cs="Arial" w:eastAsia="Arial" w:hAnsi="Arial"/>
          <w:i w:val="1"/>
          <w:color w:val="424242"/>
        </w:rPr>
      </w:pPr>
      <w:r w:rsidDel="00000000" w:rsidR="00000000" w:rsidRPr="00000000">
        <w:rPr>
          <w:rFonts w:ascii="Arial" w:cs="Arial" w:eastAsia="Arial" w:hAnsi="Arial"/>
          <w:i w:val="1"/>
          <w:color w:val="424242"/>
          <w:rtl w:val="0"/>
        </w:rPr>
        <w:t xml:space="preserve">    El único </w:t>
      </w:r>
      <w:r w:rsidDel="00000000" w:rsidR="00000000" w:rsidRPr="00000000">
        <w:rPr>
          <w:rFonts w:ascii="Arial" w:cs="Arial" w:eastAsia="Arial" w:hAnsi="Arial"/>
          <w:b w:val="1"/>
          <w:i w:val="1"/>
          <w:color w:val="424242"/>
          <w:rtl w:val="0"/>
        </w:rPr>
        <w:t xml:space="preserve">tratamiento </w:t>
      </w:r>
      <w:r w:rsidDel="00000000" w:rsidR="00000000" w:rsidRPr="00000000">
        <w:rPr>
          <w:rFonts w:ascii="Arial" w:cs="Arial" w:eastAsia="Arial" w:hAnsi="Arial"/>
          <w:i w:val="1"/>
          <w:color w:val="424242"/>
          <w:rtl w:val="0"/>
        </w:rPr>
        <w:t xml:space="preserve">que hay para la</w:t>
      </w:r>
      <w:r w:rsidDel="00000000" w:rsidR="00000000" w:rsidRPr="00000000">
        <w:rPr>
          <w:rFonts w:ascii="Arial" w:cs="Arial" w:eastAsia="Arial" w:hAnsi="Arial"/>
          <w:b w:val="1"/>
          <w:i w:val="1"/>
          <w:color w:val="424242"/>
          <w:rtl w:val="0"/>
        </w:rPr>
        <w:t xml:space="preserve"> celiaquía</w:t>
      </w:r>
      <w:r w:rsidDel="00000000" w:rsidR="00000000" w:rsidRPr="00000000">
        <w:rPr>
          <w:rFonts w:ascii="Arial" w:cs="Arial" w:eastAsia="Arial" w:hAnsi="Arial"/>
          <w:i w:val="1"/>
          <w:color w:val="424242"/>
          <w:rtl w:val="0"/>
        </w:rPr>
        <w:t xml:space="preserve"> consiste en el seguimiento de una </w:t>
      </w:r>
      <w:r w:rsidDel="00000000" w:rsidR="00000000" w:rsidRPr="00000000">
        <w:rPr>
          <w:rFonts w:ascii="Arial" w:cs="Arial" w:eastAsia="Arial" w:hAnsi="Arial"/>
          <w:b w:val="1"/>
          <w:i w:val="1"/>
          <w:color w:val="424242"/>
          <w:rtl w:val="0"/>
        </w:rPr>
        <w:t xml:space="preserve">dieta estricta sin gluten</w:t>
      </w:r>
      <w:r w:rsidDel="00000000" w:rsidR="00000000" w:rsidRPr="00000000">
        <w:rPr>
          <w:rFonts w:ascii="Arial" w:cs="Arial" w:eastAsia="Arial" w:hAnsi="Arial"/>
          <w:i w:val="1"/>
          <w:color w:val="424242"/>
          <w:rtl w:val="0"/>
        </w:rPr>
        <w:t xml:space="preserve"> durante toda la vida. Realizando los controles médicos y cambiando los hábitos de alimentación, las personas con celiaquía pueden desarrollar las mismas actividades que las personas que no tienen esta condición.</w:t>
      </w:r>
    </w:p>
    <w:p w:rsidR="00000000" w:rsidDel="00000000" w:rsidP="00000000" w:rsidRDefault="00000000" w:rsidRPr="00000000" w14:paraId="0000001A">
      <w:pPr>
        <w:shd w:fill="fafafa" w:val="clear"/>
        <w:spacing w:after="0" w:line="360" w:lineRule="auto"/>
        <w:ind w:firstLine="708"/>
        <w:jc w:val="both"/>
        <w:rPr>
          <w:rFonts w:ascii="Arial" w:cs="Arial" w:eastAsia="Arial" w:hAnsi="Arial"/>
          <w:i w:val="1"/>
          <w:color w:val="4242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b w:val="1"/>
          <w:i w:val="1"/>
          <w:color w:val="424242"/>
          <w:shd w:fill="fafafa" w:val="clear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424242"/>
          <w:shd w:fill="fafafa" w:val="clear"/>
          <w:rtl w:val="0"/>
        </w:rPr>
        <w:t xml:space="preserve">                </w:t>
      </w:r>
      <w:r w:rsidDel="00000000" w:rsidR="00000000" w:rsidRPr="00000000">
        <w:rPr>
          <w:rFonts w:ascii="Arial" w:cs="Arial" w:eastAsia="Arial" w:hAnsi="Arial"/>
          <w:b w:val="1"/>
          <w:i w:val="1"/>
          <w:color w:val="424242"/>
          <w:shd w:fill="fafafa" w:val="clear"/>
          <w:rtl w:val="0"/>
        </w:rPr>
        <w:t xml:space="preserve">RECOMENDACIONES ÚTILES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Guardar los alimentos sin TACC en recipientes con tapa, separados de aquellos que sí tienen gluten, ya que la volatilidad de las harinas hace que los productos puedan contaminarse fácilmente.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Limpiar previamente todas las superficies que se utilicen para realizar la preparación de alimentos sin TACC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Destinar un lugar de la cocina exclusivo para el almacenamiento y conservación de los productos aptos para celíacos.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Tener ciertos utensilios reservados para cocinar y manipular exclusivamente alimentos sin gluten, y así disminuir el riesgo de que contengan restos de TACC.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utilizar el aceite o el agua usados previamente en la cocción de alimentos con gluten.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cocinar en el horno una comida apta para celíacos y otra con gluten, lo ideal es cocinarlas en diferentes recipientes, colocando la preparación con gluten en la parte inferior del horno y en la parte superior el recipiente libre de gluten.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saber más sobre recomendaciones y alimentos aptos visitar la siguiente página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d6d6d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hyperlink r:id="rId8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428bca"/>
            <w:sz w:val="22"/>
            <w:szCs w:val="22"/>
            <w:u w:val="none"/>
            <w:shd w:fill="auto" w:val="clear"/>
            <w:vertAlign w:val="baseline"/>
            <w:rtl w:val="0"/>
          </w:rPr>
          <w:t xml:space="preserve">https://www.argentina.gob.ar/salud/celiaquia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1440" w:top="1440" w:left="1080" w:right="1080" w:header="708" w:footer="708"/>
      <w:pgNumType w:start="1"/>
      <w:cols w:equalWidth="0" w:num="2">
        <w:col w:space="708" w:w="6985"/>
        <w:col w:space="0" w:w="698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62175" cy="5619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2175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62175" cy="56197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2175" cy="561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hyperlink" Target="https://www.argentina.gob.ar/salud/celiaquia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